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D4" w:rsidRPr="0005048E" w:rsidRDefault="00385C0F" w:rsidP="00E3330A">
      <w:pPr>
        <w:pStyle w:val="Titolo1"/>
        <w:spacing w:before="120" w:after="120" w:line="240" w:lineRule="auto"/>
        <w:ind w:left="431" w:hanging="431"/>
        <w:rPr>
          <w:rFonts w:ascii="Trebuchet MS" w:hAnsi="Trebuchet MS"/>
          <w:b/>
          <w:color w:val="auto"/>
          <w:sz w:val="20"/>
          <w:szCs w:val="20"/>
        </w:rPr>
      </w:pPr>
      <w:bookmarkStart w:id="0" w:name="_Toc504069028"/>
      <w:r w:rsidRPr="0005048E">
        <w:rPr>
          <w:rFonts w:ascii="Trebuchet MS" w:hAnsi="Trebuchet MS"/>
          <w:b/>
          <w:color w:val="auto"/>
          <w:sz w:val="20"/>
          <w:szCs w:val="20"/>
        </w:rPr>
        <w:t>GENERALITA’</w:t>
      </w:r>
      <w:bookmarkStart w:id="1" w:name="_GoBack"/>
      <w:bookmarkEnd w:id="0"/>
      <w:bookmarkEnd w:id="1"/>
    </w:p>
    <w:p w:rsidR="00D4549A" w:rsidRDefault="00BE0199" w:rsidP="00E3330A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E15897">
        <w:rPr>
          <w:rFonts w:ascii="Trebuchet MS" w:hAnsi="Trebuchet MS"/>
          <w:sz w:val="20"/>
          <w:szCs w:val="20"/>
        </w:rPr>
        <w:t xml:space="preserve">Per </w:t>
      </w:r>
      <w:r w:rsidR="00DD174A">
        <w:rPr>
          <w:rFonts w:ascii="Trebuchet MS" w:hAnsi="Trebuchet MS"/>
          <w:sz w:val="18"/>
          <w:szCs w:val="18"/>
        </w:rPr>
        <w:t>SAN ROCCO TRASPORTI</w:t>
      </w:r>
      <w:r w:rsidRPr="00515EEF">
        <w:rPr>
          <w:rFonts w:ascii="Trebuchet MS" w:hAnsi="Trebuchet MS"/>
          <w:sz w:val="18"/>
          <w:szCs w:val="18"/>
        </w:rPr>
        <w:t xml:space="preserve"> </w:t>
      </w:r>
      <w:r w:rsidRPr="00E15897">
        <w:rPr>
          <w:rFonts w:ascii="Trebuchet MS" w:hAnsi="Trebuchet MS"/>
          <w:sz w:val="20"/>
          <w:szCs w:val="20"/>
        </w:rPr>
        <w:t>SRL l'adozione d</w:t>
      </w:r>
      <w:r w:rsidR="002B787B">
        <w:rPr>
          <w:rFonts w:ascii="Trebuchet MS" w:hAnsi="Trebuchet MS"/>
          <w:sz w:val="20"/>
          <w:szCs w:val="20"/>
        </w:rPr>
        <w:t>el</w:t>
      </w:r>
      <w:r w:rsidRPr="00E15897">
        <w:rPr>
          <w:rFonts w:ascii="Trebuchet MS" w:hAnsi="Trebuchet MS"/>
          <w:sz w:val="20"/>
          <w:szCs w:val="20"/>
        </w:rPr>
        <w:t xml:space="preserve"> sistema di gestione per la qualità</w:t>
      </w:r>
      <w:r>
        <w:rPr>
          <w:rFonts w:ascii="Trebuchet MS" w:hAnsi="Trebuchet MS"/>
          <w:sz w:val="20"/>
          <w:szCs w:val="20"/>
        </w:rPr>
        <w:t xml:space="preserve"> (nel seguito SGQ)</w:t>
      </w:r>
      <w:r w:rsidRPr="00E15897">
        <w:rPr>
          <w:rFonts w:ascii="Trebuchet MS" w:hAnsi="Trebuchet MS"/>
          <w:sz w:val="20"/>
          <w:szCs w:val="20"/>
        </w:rPr>
        <w:t xml:space="preserve"> è </w:t>
      </w:r>
      <w:r w:rsidR="00F77E14">
        <w:rPr>
          <w:rFonts w:ascii="Trebuchet MS" w:hAnsi="Trebuchet MS"/>
          <w:sz w:val="20"/>
          <w:szCs w:val="20"/>
        </w:rPr>
        <w:t xml:space="preserve">considerata </w:t>
      </w:r>
      <w:r w:rsidRPr="00E15897">
        <w:rPr>
          <w:rFonts w:ascii="Trebuchet MS" w:hAnsi="Trebuchet MS"/>
          <w:sz w:val="20"/>
          <w:szCs w:val="20"/>
        </w:rPr>
        <w:t>una decisione strategica che può</w:t>
      </w:r>
      <w:r w:rsidR="00D4549A">
        <w:rPr>
          <w:rFonts w:ascii="Trebuchet MS" w:hAnsi="Trebuchet MS"/>
          <w:sz w:val="20"/>
          <w:szCs w:val="20"/>
        </w:rPr>
        <w:t>:</w:t>
      </w:r>
    </w:p>
    <w:p w:rsidR="00D4549A" w:rsidRDefault="00BE0199" w:rsidP="00E3330A">
      <w:pPr>
        <w:pStyle w:val="Paragrafoelenco"/>
        <w:numPr>
          <w:ilvl w:val="0"/>
          <w:numId w:val="2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4549A">
        <w:rPr>
          <w:rFonts w:ascii="Trebuchet MS" w:hAnsi="Trebuchet MS"/>
          <w:sz w:val="20"/>
          <w:szCs w:val="20"/>
        </w:rPr>
        <w:t>aiutare a migliorare la sua prestazione complessiva</w:t>
      </w:r>
      <w:r w:rsidR="00D4549A" w:rsidRPr="00D4549A">
        <w:rPr>
          <w:rFonts w:ascii="Trebuchet MS" w:hAnsi="Trebuchet MS"/>
          <w:sz w:val="20"/>
          <w:szCs w:val="20"/>
        </w:rPr>
        <w:t xml:space="preserve"> in termini di:</w:t>
      </w:r>
    </w:p>
    <w:p w:rsidR="00D4549A" w:rsidRDefault="00D4549A" w:rsidP="00E3330A">
      <w:pPr>
        <w:pStyle w:val="Paragrafoelenco"/>
        <w:numPr>
          <w:ilvl w:val="1"/>
          <w:numId w:val="2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4549A">
        <w:rPr>
          <w:rFonts w:ascii="Trebuchet MS" w:hAnsi="Trebuchet MS"/>
          <w:sz w:val="20"/>
          <w:szCs w:val="20"/>
        </w:rPr>
        <w:t>capacità di fornire con regolarità servizi che soddisfino i requisiti del cliente e quelli cogenti applicabili;</w:t>
      </w:r>
    </w:p>
    <w:p w:rsidR="00D4549A" w:rsidRDefault="00D4549A" w:rsidP="00E3330A">
      <w:pPr>
        <w:pStyle w:val="Paragrafoelenco"/>
        <w:numPr>
          <w:ilvl w:val="1"/>
          <w:numId w:val="2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4549A">
        <w:rPr>
          <w:rFonts w:ascii="Trebuchet MS" w:hAnsi="Trebuchet MS"/>
          <w:sz w:val="20"/>
          <w:szCs w:val="20"/>
        </w:rPr>
        <w:t>accrescere la soddisfazione del cliente;</w:t>
      </w:r>
    </w:p>
    <w:p w:rsidR="00D4549A" w:rsidRPr="00D4549A" w:rsidRDefault="00D4549A" w:rsidP="00E3330A">
      <w:pPr>
        <w:pStyle w:val="Paragrafoelenco"/>
        <w:numPr>
          <w:ilvl w:val="1"/>
          <w:numId w:val="2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4549A">
        <w:rPr>
          <w:rFonts w:ascii="Trebuchet MS" w:hAnsi="Trebuchet MS"/>
          <w:sz w:val="20"/>
          <w:szCs w:val="20"/>
        </w:rPr>
        <w:t>affrontare rischi e opportunità associati al suo contesto e ai suoi obiettivi;</w:t>
      </w:r>
    </w:p>
    <w:p w:rsidR="00BE0199" w:rsidRPr="00D4549A" w:rsidRDefault="00BE0199" w:rsidP="00E3330A">
      <w:pPr>
        <w:pStyle w:val="Paragrafoelenco"/>
        <w:numPr>
          <w:ilvl w:val="0"/>
          <w:numId w:val="2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4549A">
        <w:rPr>
          <w:rFonts w:ascii="Trebuchet MS" w:hAnsi="Trebuchet MS"/>
          <w:sz w:val="20"/>
          <w:szCs w:val="20"/>
        </w:rPr>
        <w:t>costituire una solida base per iniziative di sviluppo sostenibile.</w:t>
      </w:r>
    </w:p>
    <w:p w:rsidR="00F77E14" w:rsidRPr="00F77E14" w:rsidRDefault="00F77E14" w:rsidP="00E3330A">
      <w:pPr>
        <w:spacing w:before="120" w:after="120" w:line="240" w:lineRule="auto"/>
        <w:rPr>
          <w:rFonts w:ascii="Trebuchet MS" w:hAnsi="Trebuchet MS"/>
          <w:sz w:val="20"/>
          <w:szCs w:val="20"/>
          <w:highlight w:val="yellow"/>
        </w:rPr>
      </w:pPr>
    </w:p>
    <w:p w:rsidR="00E854D4" w:rsidRDefault="00F40398" w:rsidP="00E3330A">
      <w:pPr>
        <w:pStyle w:val="Titolo1"/>
        <w:spacing w:before="120" w:after="120" w:line="240" w:lineRule="auto"/>
        <w:ind w:left="431" w:hanging="431"/>
        <w:rPr>
          <w:rFonts w:ascii="Trebuchet MS" w:hAnsi="Trebuchet MS"/>
          <w:b/>
          <w:color w:val="auto"/>
          <w:sz w:val="20"/>
          <w:szCs w:val="20"/>
        </w:rPr>
      </w:pPr>
      <w:bookmarkStart w:id="2" w:name="_Toc504069029"/>
      <w:r w:rsidRPr="0005048E">
        <w:rPr>
          <w:rFonts w:ascii="Trebuchet MS" w:hAnsi="Trebuchet MS"/>
          <w:b/>
          <w:color w:val="auto"/>
          <w:sz w:val="20"/>
          <w:szCs w:val="20"/>
        </w:rPr>
        <w:t>POLITICA PER LA QUALITA’</w:t>
      </w:r>
      <w:bookmarkEnd w:id="2"/>
    </w:p>
    <w:p w:rsidR="00FA417B" w:rsidRDefault="00FA417B" w:rsidP="00E3330A">
      <w:pPr>
        <w:spacing w:before="120" w:after="120" w:line="240" w:lineRule="auto"/>
      </w:pPr>
      <w:r w:rsidRPr="00FA417B">
        <w:t xml:space="preserve">Al fine di garantire </w:t>
      </w:r>
      <w:r w:rsidR="00595917">
        <w:t xml:space="preserve">servizi </w:t>
      </w:r>
      <w:r w:rsidRPr="00FA417B">
        <w:t>improntat</w:t>
      </w:r>
      <w:r w:rsidR="00DD174A">
        <w:t>i</w:t>
      </w:r>
      <w:r w:rsidRPr="00FA417B">
        <w:t xml:space="preserve"> alla massima soddisfazione dei propri Clienti, e più in </w:t>
      </w:r>
      <w:r w:rsidR="00595917">
        <w:t>g</w:t>
      </w:r>
      <w:r w:rsidRPr="00FA417B">
        <w:t xml:space="preserve">enerale, di tutte le parti interessate, </w:t>
      </w:r>
      <w:r w:rsidR="00DD174A">
        <w:rPr>
          <w:rFonts w:ascii="Trebuchet MS" w:hAnsi="Trebuchet MS"/>
          <w:sz w:val="18"/>
          <w:szCs w:val="18"/>
        </w:rPr>
        <w:t>SAN ROCCO TRASPORTI</w:t>
      </w:r>
      <w:r w:rsidR="00595917" w:rsidRPr="00E15897">
        <w:rPr>
          <w:rFonts w:ascii="Trebuchet MS" w:hAnsi="Trebuchet MS"/>
          <w:sz w:val="20"/>
          <w:szCs w:val="20"/>
        </w:rPr>
        <w:t xml:space="preserve"> </w:t>
      </w:r>
      <w:r w:rsidRPr="00FA417B">
        <w:t xml:space="preserve">definisce </w:t>
      </w:r>
      <w:r w:rsidR="00595917">
        <w:t xml:space="preserve">i seguenti </w:t>
      </w:r>
      <w:r w:rsidRPr="00FA417B">
        <w:t xml:space="preserve">principi di riferimento della propria Politica </w:t>
      </w:r>
      <w:r w:rsidR="00595917">
        <w:t>per la</w:t>
      </w:r>
      <w:r w:rsidRPr="00FA417B">
        <w:t xml:space="preserve"> Qualità:</w:t>
      </w:r>
    </w:p>
    <w:p w:rsidR="00385C0F" w:rsidRPr="0005048E" w:rsidRDefault="00595917" w:rsidP="00E3330A">
      <w:pPr>
        <w:pStyle w:val="Titolo2"/>
        <w:spacing w:before="120" w:after="120" w:line="24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FOCALIZZAZIONE SUI CLIENTI E ALTRE PARTI INTERESSATE</w:t>
      </w:r>
    </w:p>
    <w:p w:rsidR="00595917" w:rsidRDefault="00DD174A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si impegna a comprendere le necessità dei clienti</w:t>
      </w:r>
      <w:r w:rsidR="00595917">
        <w:rPr>
          <w:rFonts w:ascii="Trebuchet MS" w:hAnsi="Trebuchet MS"/>
          <w:lang w:val="it-IT"/>
        </w:rPr>
        <w:t xml:space="preserve"> e delle altre parti interessate ritenute rilevanti</w:t>
      </w:r>
      <w:r w:rsidR="00CE2A4C">
        <w:rPr>
          <w:rFonts w:ascii="Trebuchet MS" w:hAnsi="Trebuchet MS"/>
          <w:lang w:val="it-IT"/>
        </w:rPr>
        <w:t xml:space="preserve"> per il proprio SGQ</w:t>
      </w:r>
      <w:r w:rsidR="00595917" w:rsidRPr="00595917">
        <w:rPr>
          <w:rFonts w:ascii="Trebuchet MS" w:hAnsi="Trebuchet MS"/>
          <w:lang w:val="it-IT"/>
        </w:rPr>
        <w:t xml:space="preserve"> e pianifica le proprie attività per soddisfarle appieno. Allo stesso modo opera nel rispetto delle richieste e dei requisiti</w:t>
      </w:r>
      <w:r w:rsidR="00595917">
        <w:rPr>
          <w:rFonts w:ascii="Trebuchet MS" w:hAnsi="Trebuchet MS"/>
          <w:lang w:val="it-IT"/>
        </w:rPr>
        <w:t xml:space="preserve"> dei mercati </w:t>
      </w:r>
      <w:r w:rsidR="00595917" w:rsidRPr="00595917">
        <w:rPr>
          <w:rFonts w:ascii="Trebuchet MS" w:hAnsi="Trebuchet MS"/>
          <w:lang w:val="it-IT"/>
        </w:rPr>
        <w:t>di riferimento</w:t>
      </w:r>
      <w:r w:rsidR="00595917">
        <w:rPr>
          <w:rFonts w:ascii="Trebuchet MS" w:hAnsi="Trebuchet MS"/>
          <w:lang w:val="it-IT"/>
        </w:rPr>
        <w:t xml:space="preserve">, del paese in cui opera adempiendo </w:t>
      </w:r>
      <w:r w:rsidR="00595917" w:rsidRPr="00595917">
        <w:rPr>
          <w:rFonts w:ascii="Trebuchet MS" w:hAnsi="Trebuchet MS"/>
          <w:lang w:val="it-IT"/>
        </w:rPr>
        <w:t>a leggi e regolamenti</w:t>
      </w:r>
      <w:r w:rsidR="00595917">
        <w:rPr>
          <w:rFonts w:ascii="Trebuchet MS" w:hAnsi="Trebuchet MS"/>
          <w:lang w:val="it-IT"/>
        </w:rPr>
        <w:t xml:space="preserve">, di </w:t>
      </w:r>
      <w:r w:rsidR="00595917" w:rsidRPr="00595917">
        <w:rPr>
          <w:rFonts w:ascii="Trebuchet MS" w:hAnsi="Trebuchet MS"/>
          <w:lang w:val="it-IT"/>
        </w:rPr>
        <w:t xml:space="preserve">tutte le parti </w:t>
      </w:r>
      <w:r w:rsidR="00595917">
        <w:rPr>
          <w:rFonts w:ascii="Trebuchet MS" w:hAnsi="Trebuchet MS"/>
          <w:lang w:val="it-IT"/>
        </w:rPr>
        <w:t xml:space="preserve">interessate </w:t>
      </w:r>
      <w:r w:rsidR="00595917" w:rsidRPr="00595917">
        <w:rPr>
          <w:rFonts w:ascii="Trebuchet MS" w:hAnsi="Trebuchet MS"/>
          <w:lang w:val="it-IT"/>
        </w:rPr>
        <w:t>coinvolte nei propri processi ritenuti critici</w:t>
      </w:r>
      <w:r w:rsidR="00595917">
        <w:rPr>
          <w:rFonts w:ascii="Trebuchet MS" w:hAnsi="Trebuchet MS"/>
          <w:lang w:val="it-IT"/>
        </w:rPr>
        <w:t>.</w:t>
      </w:r>
    </w:p>
    <w:p w:rsidR="00595917" w:rsidRPr="0005048E" w:rsidRDefault="00595917" w:rsidP="00E3330A">
      <w:pPr>
        <w:pStyle w:val="Titolo2"/>
        <w:spacing w:before="120" w:after="120" w:line="24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APPROCCIO PER PROCESSI</w:t>
      </w:r>
    </w:p>
    <w:p w:rsidR="00595917" w:rsidRDefault="00DD174A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identifica le diverse attività della propria organizzazione come processi da pianificare, controllare e migliorare costantemente e attiva al meglio le risorse per la loro realizzazione. </w:t>
      </w: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AB0DAC" w:rsidRPr="00595917">
        <w:rPr>
          <w:rFonts w:ascii="Trebuchet MS" w:hAnsi="Trebuchet MS"/>
          <w:lang w:val="it-IT"/>
        </w:rPr>
        <w:t xml:space="preserve"> </w:t>
      </w:r>
      <w:r w:rsidR="00127504" w:rsidRPr="00595917">
        <w:rPr>
          <w:rFonts w:ascii="Trebuchet MS" w:hAnsi="Trebuchet MS"/>
          <w:sz w:val="18"/>
          <w:szCs w:val="18"/>
          <w:lang w:val="it-IT"/>
        </w:rPr>
        <w:t xml:space="preserve">ITALIA </w:t>
      </w:r>
      <w:r w:rsidR="00127504" w:rsidRPr="00595917">
        <w:rPr>
          <w:rFonts w:ascii="Trebuchet MS" w:hAnsi="Trebuchet MS"/>
          <w:lang w:val="it-IT"/>
        </w:rPr>
        <w:t>SRL</w:t>
      </w:r>
      <w:r w:rsidR="00595917" w:rsidRPr="00595917">
        <w:rPr>
          <w:rFonts w:ascii="Trebuchet MS" w:hAnsi="Trebuchet MS"/>
          <w:lang w:val="it-IT"/>
        </w:rPr>
        <w:t xml:space="preserve"> gestisce i propri processi perché siano univoci</w:t>
      </w:r>
      <w:r w:rsidR="00127504">
        <w:rPr>
          <w:rFonts w:ascii="Trebuchet MS" w:hAnsi="Trebuchet MS"/>
          <w:lang w:val="it-IT"/>
        </w:rPr>
        <w:t xml:space="preserve"> g</w:t>
      </w:r>
      <w:r w:rsidR="00595917" w:rsidRPr="00595917">
        <w:rPr>
          <w:rFonts w:ascii="Trebuchet MS" w:hAnsi="Trebuchet MS"/>
          <w:lang w:val="it-IT"/>
        </w:rPr>
        <w:t>li obiettivi da perseguire</w:t>
      </w:r>
      <w:r w:rsidR="00127504">
        <w:rPr>
          <w:rFonts w:ascii="Trebuchet MS" w:hAnsi="Trebuchet MS"/>
          <w:lang w:val="it-IT"/>
        </w:rPr>
        <w:t xml:space="preserve">, </w:t>
      </w:r>
      <w:r w:rsidR="00595917" w:rsidRPr="00595917">
        <w:rPr>
          <w:rFonts w:ascii="Trebuchet MS" w:hAnsi="Trebuchet MS"/>
          <w:lang w:val="it-IT"/>
        </w:rPr>
        <w:t>i risultati attesi</w:t>
      </w:r>
      <w:r w:rsidR="00127504">
        <w:rPr>
          <w:rFonts w:ascii="Trebuchet MS" w:hAnsi="Trebuchet MS"/>
          <w:lang w:val="it-IT"/>
        </w:rPr>
        <w:t>, l</w:t>
      </w:r>
      <w:r w:rsidR="00595917" w:rsidRPr="00595917">
        <w:rPr>
          <w:rFonts w:ascii="Trebuchet MS" w:hAnsi="Trebuchet MS"/>
          <w:lang w:val="it-IT"/>
        </w:rPr>
        <w:t>e responsabilità connesse e le risorse impiegate</w:t>
      </w:r>
      <w:r w:rsidR="00127504">
        <w:rPr>
          <w:rFonts w:ascii="Trebuchet MS" w:hAnsi="Trebuchet MS"/>
          <w:lang w:val="it-IT"/>
        </w:rPr>
        <w:t>.</w:t>
      </w:r>
    </w:p>
    <w:p w:rsidR="00127504" w:rsidRPr="0005048E" w:rsidRDefault="00127504" w:rsidP="00E3330A">
      <w:pPr>
        <w:pStyle w:val="Titolo2"/>
        <w:spacing w:before="120" w:after="120" w:line="24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LEADERSHIP</w:t>
      </w:r>
    </w:p>
    <w:p w:rsidR="00595917" w:rsidRDefault="00127504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 xml:space="preserve">La direzione di </w:t>
      </w:r>
      <w:r w:rsidR="00DD174A"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si assume la responsabilità dell’efficacia del proprio SGQ, rendendo disponibili tutte le risorse necessarie e assicurandosi che gli obiettivi pianificati siano compatibili con il contesto e gli indirizzi strategici. </w:t>
      </w:r>
      <w:r w:rsidR="00DD174A"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comunica l’importanza del SGQ e coinvolge attivamente tutte le parti interessate, coordinandole e sostenendole.</w:t>
      </w:r>
    </w:p>
    <w:p w:rsidR="00127504" w:rsidRPr="0005048E" w:rsidRDefault="00127504" w:rsidP="00E3330A">
      <w:pPr>
        <w:pStyle w:val="Titolo2"/>
        <w:spacing w:before="120" w:after="120" w:line="24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APPROCCIO BASATO SUI RISCHI E OPPORTUNITA’</w:t>
      </w:r>
    </w:p>
    <w:p w:rsidR="00595917" w:rsidRDefault="00DD174A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pianifica i</w:t>
      </w:r>
      <w:r w:rsidR="00127504">
        <w:rPr>
          <w:rFonts w:ascii="Trebuchet MS" w:hAnsi="Trebuchet MS"/>
          <w:lang w:val="it-IT"/>
        </w:rPr>
        <w:t xml:space="preserve">l proprio SGQ </w:t>
      </w:r>
      <w:r w:rsidR="00595917" w:rsidRPr="00595917">
        <w:rPr>
          <w:rFonts w:ascii="Trebuchet MS" w:hAnsi="Trebuchet MS"/>
          <w:lang w:val="it-IT"/>
        </w:rPr>
        <w:t xml:space="preserve">con un approccio </w:t>
      </w:r>
      <w:r w:rsidR="00127504">
        <w:rPr>
          <w:rFonts w:ascii="Trebuchet MS" w:hAnsi="Trebuchet MS"/>
          <w:lang w:val="it-IT"/>
        </w:rPr>
        <w:t>“</w:t>
      </w:r>
      <w:r w:rsidR="00595917" w:rsidRPr="00595917">
        <w:rPr>
          <w:rFonts w:ascii="Trebuchet MS" w:hAnsi="Trebuchet MS"/>
          <w:lang w:val="it-IT"/>
        </w:rPr>
        <w:t>risk-</w:t>
      </w:r>
      <w:proofErr w:type="spellStart"/>
      <w:r w:rsidR="00595917" w:rsidRPr="00595917">
        <w:rPr>
          <w:rFonts w:ascii="Trebuchet MS" w:hAnsi="Trebuchet MS"/>
          <w:lang w:val="it-IT"/>
        </w:rPr>
        <w:t>based</w:t>
      </w:r>
      <w:proofErr w:type="spellEnd"/>
      <w:r w:rsidR="00595917" w:rsidRPr="00595917">
        <w:rPr>
          <w:rFonts w:ascii="Trebuchet MS" w:hAnsi="Trebuchet MS"/>
          <w:lang w:val="it-IT"/>
        </w:rPr>
        <w:t xml:space="preserve"> </w:t>
      </w:r>
      <w:proofErr w:type="spellStart"/>
      <w:r w:rsidR="00595917" w:rsidRPr="00595917">
        <w:rPr>
          <w:rFonts w:ascii="Trebuchet MS" w:hAnsi="Trebuchet MS"/>
          <w:lang w:val="it-IT"/>
        </w:rPr>
        <w:t>thinking</w:t>
      </w:r>
      <w:proofErr w:type="spellEnd"/>
      <w:r w:rsidR="00127504">
        <w:rPr>
          <w:rFonts w:ascii="Trebuchet MS" w:hAnsi="Trebuchet MS"/>
          <w:lang w:val="it-IT"/>
        </w:rPr>
        <w:t>”</w:t>
      </w:r>
      <w:r w:rsidR="00595917" w:rsidRPr="00595917">
        <w:rPr>
          <w:rFonts w:ascii="Trebuchet MS" w:hAnsi="Trebuchet MS"/>
          <w:lang w:val="it-IT"/>
        </w:rPr>
        <w:t xml:space="preserve"> (RBT) al fine di attuare le azioni più idonee per</w:t>
      </w:r>
      <w:r w:rsidR="00127504">
        <w:rPr>
          <w:rFonts w:ascii="Trebuchet MS" w:hAnsi="Trebuchet MS"/>
          <w:lang w:val="it-IT"/>
        </w:rPr>
        <w:t xml:space="preserve"> v</w:t>
      </w:r>
      <w:r w:rsidR="00595917" w:rsidRPr="00595917">
        <w:rPr>
          <w:rFonts w:ascii="Trebuchet MS" w:hAnsi="Trebuchet MS"/>
          <w:lang w:val="it-IT"/>
        </w:rPr>
        <w:t xml:space="preserve">alutare e trattare rischi </w:t>
      </w:r>
      <w:r w:rsidR="00285E6B">
        <w:rPr>
          <w:rFonts w:ascii="Trebuchet MS" w:hAnsi="Trebuchet MS"/>
          <w:lang w:val="it-IT"/>
        </w:rPr>
        <w:t xml:space="preserve">e le opportunità associate al raggiungimento dei risultati attesi per il proprio SGQ. </w:t>
      </w: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promuove a tutti i livelli un adeguato senso di proattività nella gestione dei propri rischi.</w:t>
      </w:r>
    </w:p>
    <w:p w:rsidR="00CB6175" w:rsidRPr="0005048E" w:rsidRDefault="00CB6175" w:rsidP="00E3330A">
      <w:pPr>
        <w:pStyle w:val="Titolo2"/>
        <w:spacing w:before="120" w:after="120" w:line="24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COINVOLGIMENTO DEL PERSONALE E DELLE PARTI INTERESSATE</w:t>
      </w:r>
      <w:r w:rsidR="00404CBB">
        <w:rPr>
          <w:rFonts w:ascii="Trebuchet MS" w:hAnsi="Trebuchet MS"/>
          <w:b/>
          <w:color w:val="auto"/>
          <w:sz w:val="20"/>
          <w:szCs w:val="20"/>
        </w:rPr>
        <w:t xml:space="preserve"> RILEVANTI</w:t>
      </w:r>
    </w:p>
    <w:p w:rsidR="00595917" w:rsidRDefault="00DD174A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595917" w:rsidRPr="00595917">
        <w:rPr>
          <w:rFonts w:ascii="Trebuchet MS" w:hAnsi="Trebuchet MS"/>
          <w:lang w:val="it-IT"/>
        </w:rPr>
        <w:t xml:space="preserve"> è consapevole che il coinvolgimento del personale e di tutti gli stakeholder, unito all’attiva partecipazione di tutti i collaboratori, sono un elemento strategico primario.</w:t>
      </w:r>
      <w:r w:rsidR="00CB6175">
        <w:rPr>
          <w:rFonts w:ascii="Trebuchet MS" w:hAnsi="Trebuchet MS"/>
          <w:lang w:val="it-IT"/>
        </w:rPr>
        <w:t xml:space="preserve"> </w:t>
      </w:r>
      <w:r w:rsidR="00595917" w:rsidRPr="00595917">
        <w:rPr>
          <w:rFonts w:ascii="Trebuchet MS" w:hAnsi="Trebuchet MS"/>
          <w:lang w:val="it-IT"/>
        </w:rPr>
        <w:t>Promuove lo sviluppo delle professionalità interne e l’attenta selezione delle collaborazioni esterne al fine di dotarsi di risorse umane competenti e motivate.</w:t>
      </w:r>
    </w:p>
    <w:p w:rsidR="00CB6175" w:rsidRPr="0005048E" w:rsidRDefault="00CB6175" w:rsidP="00E3330A">
      <w:pPr>
        <w:pStyle w:val="Titolo2"/>
        <w:spacing w:before="120" w:after="120" w:line="24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MIGLIORAMENTO</w:t>
      </w:r>
    </w:p>
    <w:p w:rsidR="00595917" w:rsidRDefault="00DD174A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SAN ROCCO TRASPORTI</w:t>
      </w:r>
      <w:r w:rsidR="00D009DA">
        <w:rPr>
          <w:rFonts w:ascii="Trebuchet MS" w:hAnsi="Trebuchet MS"/>
          <w:lang w:val="it-IT"/>
        </w:rPr>
        <w:t xml:space="preserve"> </w:t>
      </w:r>
      <w:r w:rsidR="00F17787">
        <w:rPr>
          <w:rFonts w:ascii="Trebuchet MS" w:hAnsi="Trebuchet MS"/>
          <w:lang w:val="it-IT"/>
        </w:rPr>
        <w:t>persegue</w:t>
      </w:r>
      <w:r w:rsidR="00595917" w:rsidRPr="00595917">
        <w:rPr>
          <w:rFonts w:ascii="Trebuchet MS" w:hAnsi="Trebuchet MS"/>
          <w:lang w:val="it-IT"/>
        </w:rPr>
        <w:t xml:space="preserve"> </w:t>
      </w:r>
      <w:r w:rsidR="00F17787">
        <w:rPr>
          <w:rFonts w:ascii="Trebuchet MS" w:hAnsi="Trebuchet MS"/>
          <w:lang w:val="it-IT"/>
        </w:rPr>
        <w:t xml:space="preserve">il </w:t>
      </w:r>
      <w:r w:rsidR="00595917" w:rsidRPr="00595917">
        <w:rPr>
          <w:rFonts w:ascii="Trebuchet MS" w:hAnsi="Trebuchet MS"/>
          <w:lang w:val="it-IT"/>
        </w:rPr>
        <w:t xml:space="preserve">miglioramento </w:t>
      </w:r>
      <w:r w:rsidR="00F17787">
        <w:rPr>
          <w:rFonts w:ascii="Trebuchet MS" w:hAnsi="Trebuchet MS"/>
          <w:lang w:val="it-IT"/>
        </w:rPr>
        <w:t xml:space="preserve">continuativo dell’idoneità, adeguatezza </w:t>
      </w:r>
      <w:proofErr w:type="gramStart"/>
      <w:r w:rsidR="00F17787">
        <w:rPr>
          <w:rFonts w:ascii="Trebuchet MS" w:hAnsi="Trebuchet MS"/>
          <w:lang w:val="it-IT"/>
        </w:rPr>
        <w:t>e</w:t>
      </w:r>
      <w:proofErr w:type="gramEnd"/>
      <w:r w:rsidR="00F17787">
        <w:rPr>
          <w:rFonts w:ascii="Trebuchet MS" w:hAnsi="Trebuchet MS"/>
          <w:lang w:val="it-IT"/>
        </w:rPr>
        <w:t xml:space="preserve"> efficacia </w:t>
      </w:r>
      <w:r w:rsidR="00595917" w:rsidRPr="00595917">
        <w:rPr>
          <w:rFonts w:ascii="Trebuchet MS" w:hAnsi="Trebuchet MS"/>
          <w:lang w:val="it-IT"/>
        </w:rPr>
        <w:t>del</w:t>
      </w:r>
      <w:r w:rsidR="00F17787">
        <w:rPr>
          <w:rFonts w:ascii="Trebuchet MS" w:hAnsi="Trebuchet MS"/>
          <w:lang w:val="it-IT"/>
        </w:rPr>
        <w:t xml:space="preserve"> proprio SGQ considerando i risultati dell’analisi e valutazione, gli output del riesame di direzione, per determinare se ci sono esigenze e opportunità di miglioramento.</w:t>
      </w:r>
    </w:p>
    <w:p w:rsidR="00E77B1C" w:rsidRPr="00595917" w:rsidRDefault="00E77B1C" w:rsidP="00E3330A">
      <w:pPr>
        <w:pStyle w:val="PreformattedText"/>
        <w:spacing w:before="120" w:after="120"/>
        <w:jc w:val="both"/>
        <w:rPr>
          <w:rFonts w:ascii="Trebuchet MS" w:hAnsi="Trebuchet MS"/>
          <w:lang w:val="it-IT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63"/>
        <w:gridCol w:w="3984"/>
        <w:gridCol w:w="3392"/>
      </w:tblGrid>
      <w:tr w:rsidR="006F55B3" w:rsidTr="00A547C9">
        <w:tc>
          <w:tcPr>
            <w:tcW w:w="2263" w:type="dxa"/>
          </w:tcPr>
          <w:p w:rsidR="006F55B3" w:rsidRPr="00753AF3" w:rsidRDefault="006F55B3" w:rsidP="006F55B3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Luogo</w:t>
            </w:r>
          </w:p>
        </w:tc>
        <w:tc>
          <w:tcPr>
            <w:tcW w:w="3984" w:type="dxa"/>
          </w:tcPr>
          <w:p w:rsidR="006F55B3" w:rsidRPr="00753AF3" w:rsidRDefault="006F55B3" w:rsidP="006F55B3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Redazione</w:t>
            </w:r>
          </w:p>
        </w:tc>
        <w:tc>
          <w:tcPr>
            <w:tcW w:w="3392" w:type="dxa"/>
          </w:tcPr>
          <w:p w:rsidR="006F55B3" w:rsidRPr="00753AF3" w:rsidRDefault="006F55B3" w:rsidP="006F55B3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Approvazione</w:t>
            </w:r>
          </w:p>
        </w:tc>
      </w:tr>
      <w:tr w:rsidR="006F55B3" w:rsidTr="004B1AD3">
        <w:tc>
          <w:tcPr>
            <w:tcW w:w="2263" w:type="dxa"/>
          </w:tcPr>
          <w:p w:rsidR="006F55B3" w:rsidRPr="00753AF3" w:rsidRDefault="006F55B3" w:rsidP="006F55B3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Codogno (LO)</w:t>
            </w:r>
          </w:p>
        </w:tc>
        <w:tc>
          <w:tcPr>
            <w:tcW w:w="3984" w:type="dxa"/>
          </w:tcPr>
          <w:p w:rsidR="006F55B3" w:rsidRPr="00753AF3" w:rsidRDefault="006F55B3" w:rsidP="006F55B3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Ferrarini Camilla (RAQ)</w:t>
            </w:r>
          </w:p>
        </w:tc>
        <w:tc>
          <w:tcPr>
            <w:tcW w:w="3392" w:type="dxa"/>
          </w:tcPr>
          <w:p w:rsidR="006F55B3" w:rsidRPr="00753AF3" w:rsidRDefault="006F55B3" w:rsidP="006F55B3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Ferrarini Matteo (DIR)</w:t>
            </w:r>
          </w:p>
        </w:tc>
      </w:tr>
    </w:tbl>
    <w:p w:rsidR="0005048E" w:rsidRPr="00E77B1C" w:rsidRDefault="0005048E" w:rsidP="00E3330A">
      <w:pPr>
        <w:spacing w:before="120" w:after="120" w:line="240" w:lineRule="auto"/>
        <w:rPr>
          <w:rFonts w:ascii="Trebuchet MS" w:hAnsi="Trebuchet MS"/>
          <w:sz w:val="16"/>
          <w:szCs w:val="16"/>
        </w:rPr>
      </w:pPr>
      <w:r w:rsidRPr="009A7307">
        <w:rPr>
          <w:rFonts w:ascii="Trebuchet MS" w:hAnsi="Trebuchet MS"/>
          <w:sz w:val="16"/>
          <w:szCs w:val="16"/>
        </w:rPr>
        <w:t xml:space="preserve">Proprietà di </w:t>
      </w:r>
      <w:r w:rsidR="00DD174A">
        <w:rPr>
          <w:rFonts w:ascii="Trebuchet MS" w:hAnsi="Trebuchet MS"/>
          <w:sz w:val="16"/>
          <w:szCs w:val="16"/>
        </w:rPr>
        <w:t>SAN ROCCO TRASPORTI</w:t>
      </w:r>
      <w:r w:rsidR="002F1391">
        <w:rPr>
          <w:rFonts w:ascii="Trebuchet MS" w:hAnsi="Trebuchet MS"/>
          <w:sz w:val="16"/>
          <w:szCs w:val="16"/>
        </w:rPr>
        <w:t xml:space="preserve"> SRL</w:t>
      </w:r>
      <w:r w:rsidRPr="009A7307">
        <w:rPr>
          <w:rFonts w:ascii="Trebuchet MS" w:hAnsi="Trebuchet MS"/>
          <w:sz w:val="16"/>
          <w:szCs w:val="16"/>
        </w:rPr>
        <w:t>. Ogni riproduzione, totale o parziale, non autorizzata è vietata</w:t>
      </w:r>
    </w:p>
    <w:sectPr w:rsidR="0005048E" w:rsidRPr="00E77B1C" w:rsidSect="00E14DC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AF" w:rsidRDefault="002C4BAF" w:rsidP="00BE194E">
      <w:pPr>
        <w:spacing w:after="0" w:line="240" w:lineRule="auto"/>
      </w:pPr>
      <w:r>
        <w:separator/>
      </w:r>
    </w:p>
  </w:endnote>
  <w:endnote w:type="continuationSeparator" w:id="0">
    <w:p w:rsidR="002C4BAF" w:rsidRDefault="002C4BAF" w:rsidP="00BE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C0F" w:rsidRPr="00D009DA" w:rsidRDefault="00DD174A" w:rsidP="00D009DA">
    <w:pPr>
      <w:pStyle w:val="Pidipagina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SAN ROCCO TRASPORTO SRL - </w:t>
    </w:r>
    <w:r w:rsidRPr="00E35CF7">
      <w:rPr>
        <w:rFonts w:ascii="Trebuchet MS" w:hAnsi="Trebuchet MS"/>
        <w:sz w:val="20"/>
        <w:szCs w:val="20"/>
      </w:rPr>
      <w:t xml:space="preserve">Sede </w:t>
    </w:r>
    <w:r>
      <w:rPr>
        <w:rFonts w:ascii="Trebuchet MS" w:hAnsi="Trebuchet MS"/>
        <w:sz w:val="20"/>
        <w:szCs w:val="20"/>
      </w:rPr>
      <w:t>Operativa:</w:t>
    </w:r>
    <w:r w:rsidRPr="00E35CF7">
      <w:rPr>
        <w:rFonts w:ascii="Trebuchet MS" w:hAnsi="Trebuchet MS"/>
        <w:sz w:val="20"/>
        <w:szCs w:val="20"/>
      </w:rPr>
      <w:t xml:space="preserve"> Via </w:t>
    </w:r>
    <w:r>
      <w:rPr>
        <w:rFonts w:ascii="Trebuchet MS" w:hAnsi="Trebuchet MS"/>
        <w:sz w:val="20"/>
        <w:szCs w:val="20"/>
      </w:rPr>
      <w:t>Buonarroti, 9.</w:t>
    </w:r>
    <w:r w:rsidRPr="00E35CF7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 xml:space="preserve">Codogno </w:t>
    </w:r>
    <w:r w:rsidRPr="00E35CF7">
      <w:rPr>
        <w:rFonts w:ascii="Trebuchet MS" w:hAnsi="Trebuchet MS"/>
        <w:sz w:val="20"/>
        <w:szCs w:val="20"/>
      </w:rPr>
      <w:t>(L</w:t>
    </w:r>
    <w:r>
      <w:rPr>
        <w:rFonts w:ascii="Trebuchet MS" w:hAnsi="Trebuchet MS"/>
        <w:sz w:val="20"/>
        <w:szCs w:val="20"/>
      </w:rPr>
      <w:t>O</w:t>
    </w:r>
    <w:r w:rsidRPr="00E35CF7">
      <w:rPr>
        <w:rFonts w:ascii="Trebuchet MS" w:hAnsi="Trebuchet MS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AF" w:rsidRDefault="002C4BAF" w:rsidP="00BE194E">
      <w:pPr>
        <w:spacing w:after="0" w:line="240" w:lineRule="auto"/>
      </w:pPr>
      <w:r>
        <w:separator/>
      </w:r>
    </w:p>
  </w:footnote>
  <w:footnote w:type="continuationSeparator" w:id="0">
    <w:p w:rsidR="002C4BAF" w:rsidRDefault="002C4BAF" w:rsidP="00BE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86"/>
      <w:gridCol w:w="4151"/>
      <w:gridCol w:w="2291"/>
    </w:tblGrid>
    <w:tr w:rsidR="00067180" w:rsidTr="002F1391">
      <w:tc>
        <w:tcPr>
          <w:tcW w:w="2495" w:type="dxa"/>
          <w:vAlign w:val="center"/>
        </w:tcPr>
        <w:p w:rsidR="00067180" w:rsidRDefault="00DD174A" w:rsidP="002F1391">
          <w:pPr>
            <w:pStyle w:val="Intestazione"/>
            <w:jc w:val="center"/>
          </w:pPr>
          <w:r w:rsidRPr="00F6071C">
            <w:rPr>
              <w:rFonts w:ascii="Arial" w:hAnsi="Arial" w:cs="Arial"/>
              <w:b/>
              <w:bCs/>
              <w:noProof/>
              <w:sz w:val="36"/>
            </w:rPr>
            <w:drawing>
              <wp:inline distT="0" distB="0" distL="0" distR="0" wp14:anchorId="299EF0AF" wp14:editId="51842A50">
                <wp:extent cx="1886400" cy="547200"/>
                <wp:effectExtent l="0" t="0" r="0" b="571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64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67180" w:rsidRDefault="00067180" w:rsidP="00067180">
          <w:pPr>
            <w:pStyle w:val="Intestazione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  <w:t>SISTEMA GESTIONE QUALITA’</w:t>
          </w:r>
        </w:p>
        <w:p w:rsidR="00067180" w:rsidRPr="00C80E95" w:rsidRDefault="00067180" w:rsidP="00067180">
          <w:pPr>
            <w:pStyle w:val="Intestazione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  <w:t>POLITICA PER LA QUALITA’</w:t>
          </w:r>
        </w:p>
      </w:tc>
      <w:tc>
        <w:tcPr>
          <w:tcW w:w="2495" w:type="dxa"/>
          <w:vAlign w:val="center"/>
        </w:tcPr>
        <w:p w:rsidR="00067180" w:rsidRDefault="00067180" w:rsidP="00067180">
          <w:pPr>
            <w:pStyle w:val="Intestazione"/>
            <w:jc w:val="right"/>
            <w:rPr>
              <w:rFonts w:ascii="Trebuchet MS" w:hAnsi="Trebuchet MS"/>
              <w:sz w:val="18"/>
              <w:szCs w:val="18"/>
            </w:rPr>
          </w:pPr>
          <w:r w:rsidRPr="00BE194E">
            <w:rPr>
              <w:rFonts w:ascii="Trebuchet MS" w:hAnsi="Trebuchet MS"/>
              <w:sz w:val="18"/>
              <w:szCs w:val="18"/>
            </w:rPr>
            <w:ptab w:relativeTo="margin" w:alignment="center" w:leader="none"/>
          </w:r>
          <w:r>
            <w:rPr>
              <w:rFonts w:ascii="Trebuchet MS" w:hAnsi="Trebuchet MS"/>
              <w:sz w:val="18"/>
              <w:szCs w:val="18"/>
            </w:rPr>
            <w:t xml:space="preserve"> </w:t>
          </w:r>
          <w:r w:rsidR="00DD174A">
            <w:rPr>
              <w:rFonts w:ascii="Trebuchet MS" w:hAnsi="Trebuchet MS"/>
              <w:sz w:val="18"/>
              <w:szCs w:val="18"/>
            </w:rPr>
            <w:t>MQ-01</w:t>
          </w:r>
        </w:p>
        <w:p w:rsidR="00067180" w:rsidRDefault="00067180" w:rsidP="00067180">
          <w:pPr>
            <w:pStyle w:val="Intestazione"/>
            <w:jc w:val="right"/>
            <w:rPr>
              <w:rFonts w:ascii="Trebuchet MS" w:hAnsi="Trebuchet MS"/>
              <w:sz w:val="18"/>
              <w:szCs w:val="18"/>
            </w:rPr>
          </w:pPr>
          <w:r w:rsidRPr="00BE194E">
            <w:rPr>
              <w:rFonts w:ascii="Trebuchet MS" w:hAnsi="Trebuchet MS"/>
              <w:sz w:val="18"/>
              <w:szCs w:val="18"/>
            </w:rPr>
            <w:t>Rev.0</w:t>
          </w:r>
          <w:r w:rsidR="00914084">
            <w:rPr>
              <w:rFonts w:ascii="Trebuchet MS" w:hAnsi="Trebuchet MS"/>
              <w:sz w:val="18"/>
              <w:szCs w:val="18"/>
            </w:rPr>
            <w:t>4</w:t>
          </w:r>
          <w:r w:rsidRPr="00BE194E">
            <w:rPr>
              <w:rFonts w:ascii="Trebuchet MS" w:hAnsi="Trebuchet MS"/>
              <w:sz w:val="18"/>
              <w:szCs w:val="18"/>
            </w:rPr>
            <w:t xml:space="preserve"> del </w:t>
          </w:r>
          <w:r w:rsidR="00DD174A">
            <w:rPr>
              <w:rFonts w:ascii="Trebuchet MS" w:hAnsi="Trebuchet MS"/>
              <w:sz w:val="18"/>
              <w:szCs w:val="18"/>
            </w:rPr>
            <w:t>17</w:t>
          </w:r>
          <w:r w:rsidRPr="00BE194E">
            <w:rPr>
              <w:rFonts w:ascii="Trebuchet MS" w:hAnsi="Trebuchet MS"/>
              <w:sz w:val="18"/>
              <w:szCs w:val="18"/>
            </w:rPr>
            <w:t>-</w:t>
          </w:r>
          <w:r w:rsidR="00CA6D7D">
            <w:rPr>
              <w:rFonts w:ascii="Trebuchet MS" w:hAnsi="Trebuchet MS"/>
              <w:sz w:val="18"/>
              <w:szCs w:val="18"/>
            </w:rPr>
            <w:t>04</w:t>
          </w:r>
          <w:r w:rsidRPr="00BE194E">
            <w:rPr>
              <w:rFonts w:ascii="Trebuchet MS" w:hAnsi="Trebuchet MS"/>
              <w:sz w:val="18"/>
              <w:szCs w:val="18"/>
            </w:rPr>
            <w:t>-</w:t>
          </w:r>
          <w:r>
            <w:rPr>
              <w:rFonts w:ascii="Trebuchet MS" w:hAnsi="Trebuchet MS"/>
              <w:sz w:val="18"/>
              <w:szCs w:val="18"/>
            </w:rPr>
            <w:t>2018</w:t>
          </w:r>
        </w:p>
        <w:p w:rsidR="00067180" w:rsidRPr="00C80E95" w:rsidRDefault="00067180" w:rsidP="00067180">
          <w:pPr>
            <w:pStyle w:val="Intestazion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Pagina </w:t>
          </w:r>
          <w:r w:rsidRPr="00C80E95">
            <w:rPr>
              <w:sz w:val="20"/>
              <w:szCs w:val="20"/>
            </w:rPr>
            <w:fldChar w:fldCharType="begin"/>
          </w:r>
          <w:r w:rsidRPr="00C80E95">
            <w:rPr>
              <w:sz w:val="20"/>
              <w:szCs w:val="20"/>
            </w:rPr>
            <w:instrText>PAGE   \* MERGEFORMAT</w:instrText>
          </w:r>
          <w:r w:rsidRPr="00C80E95">
            <w:rPr>
              <w:sz w:val="20"/>
              <w:szCs w:val="20"/>
            </w:rPr>
            <w:fldChar w:fldCharType="separate"/>
          </w:r>
          <w:r w:rsidR="000543F8">
            <w:rPr>
              <w:noProof/>
              <w:sz w:val="20"/>
              <w:szCs w:val="20"/>
            </w:rPr>
            <w:t>2</w:t>
          </w:r>
          <w:r w:rsidRPr="00C80E9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di </w:t>
          </w:r>
          <w:r w:rsidR="00755D88">
            <w:rPr>
              <w:sz w:val="20"/>
              <w:szCs w:val="20"/>
            </w:rPr>
            <w:t>2</w:t>
          </w:r>
        </w:p>
      </w:tc>
    </w:tr>
  </w:tbl>
  <w:p w:rsidR="00067180" w:rsidRDefault="00067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3B2"/>
    <w:multiLevelType w:val="hybridMultilevel"/>
    <w:tmpl w:val="E03026EC"/>
    <w:lvl w:ilvl="0" w:tplc="0E285890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639"/>
    <w:multiLevelType w:val="hybridMultilevel"/>
    <w:tmpl w:val="F37A5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CF3"/>
    <w:multiLevelType w:val="hybridMultilevel"/>
    <w:tmpl w:val="F77C0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DD8"/>
    <w:multiLevelType w:val="hybridMultilevel"/>
    <w:tmpl w:val="FB78B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1D04"/>
    <w:multiLevelType w:val="hybridMultilevel"/>
    <w:tmpl w:val="8EDE6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D05"/>
    <w:multiLevelType w:val="hybridMultilevel"/>
    <w:tmpl w:val="230861D8"/>
    <w:lvl w:ilvl="0" w:tplc="6F802142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055CB"/>
    <w:multiLevelType w:val="hybridMultilevel"/>
    <w:tmpl w:val="0F908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7E50"/>
    <w:multiLevelType w:val="hybridMultilevel"/>
    <w:tmpl w:val="51DCB3B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212B"/>
    <w:multiLevelType w:val="hybridMultilevel"/>
    <w:tmpl w:val="50C2867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6776"/>
    <w:multiLevelType w:val="hybridMultilevel"/>
    <w:tmpl w:val="F05488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7896"/>
    <w:multiLevelType w:val="hybridMultilevel"/>
    <w:tmpl w:val="E506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346"/>
    <w:multiLevelType w:val="hybridMultilevel"/>
    <w:tmpl w:val="F08E1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F6449"/>
    <w:multiLevelType w:val="hybridMultilevel"/>
    <w:tmpl w:val="0A743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64A4"/>
    <w:multiLevelType w:val="hybridMultilevel"/>
    <w:tmpl w:val="254C47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0A99"/>
    <w:multiLevelType w:val="hybridMultilevel"/>
    <w:tmpl w:val="9122325C"/>
    <w:lvl w:ilvl="0" w:tplc="0E285890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F5F8F"/>
    <w:multiLevelType w:val="hybridMultilevel"/>
    <w:tmpl w:val="2E12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28CF"/>
    <w:multiLevelType w:val="hybridMultilevel"/>
    <w:tmpl w:val="86E8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2D5D"/>
    <w:multiLevelType w:val="hybridMultilevel"/>
    <w:tmpl w:val="2F74E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2714"/>
    <w:multiLevelType w:val="hybridMultilevel"/>
    <w:tmpl w:val="7750C9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C0AED"/>
    <w:multiLevelType w:val="hybridMultilevel"/>
    <w:tmpl w:val="5770D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3186A"/>
    <w:multiLevelType w:val="hybridMultilevel"/>
    <w:tmpl w:val="398A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791B"/>
    <w:multiLevelType w:val="hybridMultilevel"/>
    <w:tmpl w:val="9E4E8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B1C41"/>
    <w:multiLevelType w:val="hybridMultilevel"/>
    <w:tmpl w:val="4F701596"/>
    <w:lvl w:ilvl="0" w:tplc="0410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8B049E7"/>
    <w:multiLevelType w:val="hybridMultilevel"/>
    <w:tmpl w:val="43B26B68"/>
    <w:lvl w:ilvl="0" w:tplc="2C6EE060">
      <w:numFmt w:val="bullet"/>
      <w:lvlText w:val="-"/>
      <w:lvlJc w:val="left"/>
      <w:pPr>
        <w:ind w:left="720" w:hanging="360"/>
      </w:pPr>
      <w:rPr>
        <w:rFonts w:ascii="Calibri" w:eastAsia="AR PL SungtiL GB" w:hAnsi="Calibri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129A"/>
    <w:multiLevelType w:val="hybridMultilevel"/>
    <w:tmpl w:val="F06AC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1DC5"/>
    <w:multiLevelType w:val="hybridMultilevel"/>
    <w:tmpl w:val="78E09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2C5E0">
      <w:numFmt w:val="bullet"/>
      <w:lvlText w:val="-"/>
      <w:lvlJc w:val="left"/>
      <w:pPr>
        <w:ind w:left="1440" w:hanging="360"/>
      </w:pPr>
      <w:rPr>
        <w:rFonts w:ascii="Trebuchet MS" w:eastAsia="AR PL SungtiL GB" w:hAnsi="Trebuchet MS" w:cs="Liberation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73F8F"/>
    <w:multiLevelType w:val="hybridMultilevel"/>
    <w:tmpl w:val="53E28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7EC4"/>
    <w:multiLevelType w:val="hybridMultilevel"/>
    <w:tmpl w:val="E06E79A0"/>
    <w:lvl w:ilvl="0" w:tplc="FC26EE4E">
      <w:numFmt w:val="bullet"/>
      <w:lvlText w:val="•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A0EE3"/>
    <w:multiLevelType w:val="hybridMultilevel"/>
    <w:tmpl w:val="BB1CA02A"/>
    <w:lvl w:ilvl="0" w:tplc="FC26EE4E">
      <w:numFmt w:val="bullet"/>
      <w:lvlText w:val="•"/>
      <w:lvlJc w:val="left"/>
      <w:pPr>
        <w:ind w:left="1410" w:hanging="705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5750FAE"/>
    <w:multiLevelType w:val="hybridMultilevel"/>
    <w:tmpl w:val="61BA9F10"/>
    <w:lvl w:ilvl="0" w:tplc="0410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D09433F"/>
    <w:multiLevelType w:val="hybridMultilevel"/>
    <w:tmpl w:val="FA24DC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4135B6"/>
    <w:multiLevelType w:val="hybridMultilevel"/>
    <w:tmpl w:val="849CE03A"/>
    <w:lvl w:ilvl="0" w:tplc="2C6EE060">
      <w:numFmt w:val="bullet"/>
      <w:lvlText w:val="-"/>
      <w:lvlJc w:val="left"/>
      <w:pPr>
        <w:ind w:left="1429" w:hanging="360"/>
      </w:pPr>
      <w:rPr>
        <w:rFonts w:ascii="Calibri" w:eastAsia="AR PL SungtiL GB" w:hAnsi="Calibri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495019"/>
    <w:multiLevelType w:val="hybridMultilevel"/>
    <w:tmpl w:val="4B382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96B7B"/>
    <w:multiLevelType w:val="multilevel"/>
    <w:tmpl w:val="D43EE0B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23"/>
  </w:num>
  <w:num w:numId="8">
    <w:abstractNumId w:val="25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18"/>
  </w:num>
  <w:num w:numId="16">
    <w:abstractNumId w:val="9"/>
  </w:num>
  <w:num w:numId="17">
    <w:abstractNumId w:val="17"/>
  </w:num>
  <w:num w:numId="18">
    <w:abstractNumId w:val="26"/>
  </w:num>
  <w:num w:numId="19">
    <w:abstractNumId w:val="21"/>
  </w:num>
  <w:num w:numId="20">
    <w:abstractNumId w:val="19"/>
  </w:num>
  <w:num w:numId="21">
    <w:abstractNumId w:val="31"/>
  </w:num>
  <w:num w:numId="22">
    <w:abstractNumId w:val="13"/>
  </w:num>
  <w:num w:numId="23">
    <w:abstractNumId w:val="3"/>
  </w:num>
  <w:num w:numId="24">
    <w:abstractNumId w:val="33"/>
  </w:num>
  <w:num w:numId="25">
    <w:abstractNumId w:val="30"/>
  </w:num>
  <w:num w:numId="26">
    <w:abstractNumId w:val="32"/>
  </w:num>
  <w:num w:numId="27">
    <w:abstractNumId w:val="15"/>
  </w:num>
  <w:num w:numId="28">
    <w:abstractNumId w:val="20"/>
  </w:num>
  <w:num w:numId="29">
    <w:abstractNumId w:val="24"/>
  </w:num>
  <w:num w:numId="30">
    <w:abstractNumId w:val="10"/>
  </w:num>
  <w:num w:numId="31">
    <w:abstractNumId w:val="1"/>
  </w:num>
  <w:num w:numId="32">
    <w:abstractNumId w:val="27"/>
  </w:num>
  <w:num w:numId="33">
    <w:abstractNumId w:val="28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42"/>
    <w:rsid w:val="00010D37"/>
    <w:rsid w:val="00023C63"/>
    <w:rsid w:val="000431F7"/>
    <w:rsid w:val="00047AF8"/>
    <w:rsid w:val="0005048E"/>
    <w:rsid w:val="000543F8"/>
    <w:rsid w:val="00054A3A"/>
    <w:rsid w:val="00055198"/>
    <w:rsid w:val="00067180"/>
    <w:rsid w:val="0007259A"/>
    <w:rsid w:val="00083C53"/>
    <w:rsid w:val="00085F25"/>
    <w:rsid w:val="000865B6"/>
    <w:rsid w:val="000921E1"/>
    <w:rsid w:val="000A5BCB"/>
    <w:rsid w:val="000B0FAC"/>
    <w:rsid w:val="000B3682"/>
    <w:rsid w:val="000C6B8C"/>
    <w:rsid w:val="000C7563"/>
    <w:rsid w:val="000D2E18"/>
    <w:rsid w:val="000D7392"/>
    <w:rsid w:val="000E06BD"/>
    <w:rsid w:val="000E50F8"/>
    <w:rsid w:val="00106BAA"/>
    <w:rsid w:val="00112F07"/>
    <w:rsid w:val="00114DE7"/>
    <w:rsid w:val="00127504"/>
    <w:rsid w:val="0013041A"/>
    <w:rsid w:val="0013690F"/>
    <w:rsid w:val="00151922"/>
    <w:rsid w:val="0017767F"/>
    <w:rsid w:val="00181C95"/>
    <w:rsid w:val="001B7A5C"/>
    <w:rsid w:val="001C312E"/>
    <w:rsid w:val="001C548F"/>
    <w:rsid w:val="001D7059"/>
    <w:rsid w:val="001E7668"/>
    <w:rsid w:val="001F1C7E"/>
    <w:rsid w:val="0020250C"/>
    <w:rsid w:val="0022659A"/>
    <w:rsid w:val="002317C2"/>
    <w:rsid w:val="002548A1"/>
    <w:rsid w:val="00285E6B"/>
    <w:rsid w:val="002A6EDD"/>
    <w:rsid w:val="002B009D"/>
    <w:rsid w:val="002B28BC"/>
    <w:rsid w:val="002B48D2"/>
    <w:rsid w:val="002B52E0"/>
    <w:rsid w:val="002B785F"/>
    <w:rsid w:val="002B787B"/>
    <w:rsid w:val="002C2E71"/>
    <w:rsid w:val="002C4BAF"/>
    <w:rsid w:val="002E439B"/>
    <w:rsid w:val="002F1391"/>
    <w:rsid w:val="00300A27"/>
    <w:rsid w:val="003044A9"/>
    <w:rsid w:val="00306907"/>
    <w:rsid w:val="00341346"/>
    <w:rsid w:val="00357C3A"/>
    <w:rsid w:val="00357C47"/>
    <w:rsid w:val="00366058"/>
    <w:rsid w:val="00367766"/>
    <w:rsid w:val="003805FE"/>
    <w:rsid w:val="00385C0F"/>
    <w:rsid w:val="003969B8"/>
    <w:rsid w:val="003C36A5"/>
    <w:rsid w:val="003C5E7E"/>
    <w:rsid w:val="003C7968"/>
    <w:rsid w:val="003E7714"/>
    <w:rsid w:val="003F1946"/>
    <w:rsid w:val="003F3EBF"/>
    <w:rsid w:val="00404CBB"/>
    <w:rsid w:val="0041680D"/>
    <w:rsid w:val="00424331"/>
    <w:rsid w:val="00455149"/>
    <w:rsid w:val="00461A3D"/>
    <w:rsid w:val="004623F5"/>
    <w:rsid w:val="00462D70"/>
    <w:rsid w:val="004648D6"/>
    <w:rsid w:val="00484080"/>
    <w:rsid w:val="00484B5F"/>
    <w:rsid w:val="004853D2"/>
    <w:rsid w:val="004911E8"/>
    <w:rsid w:val="004A2C89"/>
    <w:rsid w:val="004C0964"/>
    <w:rsid w:val="004D310C"/>
    <w:rsid w:val="004D3DDB"/>
    <w:rsid w:val="004E072E"/>
    <w:rsid w:val="004E1A55"/>
    <w:rsid w:val="004E6384"/>
    <w:rsid w:val="004F13D4"/>
    <w:rsid w:val="004F2AB2"/>
    <w:rsid w:val="005116CD"/>
    <w:rsid w:val="005256B9"/>
    <w:rsid w:val="005353AA"/>
    <w:rsid w:val="00544984"/>
    <w:rsid w:val="00575D9D"/>
    <w:rsid w:val="00593103"/>
    <w:rsid w:val="00595917"/>
    <w:rsid w:val="005B3DC3"/>
    <w:rsid w:val="005C1236"/>
    <w:rsid w:val="005C7D6F"/>
    <w:rsid w:val="005D208C"/>
    <w:rsid w:val="00621DC1"/>
    <w:rsid w:val="00623A4D"/>
    <w:rsid w:val="00632D66"/>
    <w:rsid w:val="006338CB"/>
    <w:rsid w:val="00657AC0"/>
    <w:rsid w:val="00665BE0"/>
    <w:rsid w:val="00671C56"/>
    <w:rsid w:val="0067737C"/>
    <w:rsid w:val="00677D0A"/>
    <w:rsid w:val="0068554C"/>
    <w:rsid w:val="00694ACC"/>
    <w:rsid w:val="006A0C0F"/>
    <w:rsid w:val="006A51B3"/>
    <w:rsid w:val="006A697F"/>
    <w:rsid w:val="006B2E22"/>
    <w:rsid w:val="006B7731"/>
    <w:rsid w:val="006D662A"/>
    <w:rsid w:val="006D743B"/>
    <w:rsid w:val="006F55B3"/>
    <w:rsid w:val="00714858"/>
    <w:rsid w:val="007308DA"/>
    <w:rsid w:val="00730F0C"/>
    <w:rsid w:val="00732585"/>
    <w:rsid w:val="007336E8"/>
    <w:rsid w:val="00736D86"/>
    <w:rsid w:val="00744F36"/>
    <w:rsid w:val="00747B83"/>
    <w:rsid w:val="00753AF3"/>
    <w:rsid w:val="00755D88"/>
    <w:rsid w:val="00783FB1"/>
    <w:rsid w:val="0078653F"/>
    <w:rsid w:val="00792A80"/>
    <w:rsid w:val="00796367"/>
    <w:rsid w:val="007C7BB7"/>
    <w:rsid w:val="007D319D"/>
    <w:rsid w:val="007D6331"/>
    <w:rsid w:val="007D734F"/>
    <w:rsid w:val="007E148E"/>
    <w:rsid w:val="007F0DA6"/>
    <w:rsid w:val="007F6E13"/>
    <w:rsid w:val="008009E5"/>
    <w:rsid w:val="00804B58"/>
    <w:rsid w:val="0081225F"/>
    <w:rsid w:val="0083081F"/>
    <w:rsid w:val="008415DF"/>
    <w:rsid w:val="00861F3D"/>
    <w:rsid w:val="00875A83"/>
    <w:rsid w:val="00882DC7"/>
    <w:rsid w:val="008842A7"/>
    <w:rsid w:val="00891025"/>
    <w:rsid w:val="00896E48"/>
    <w:rsid w:val="00897A06"/>
    <w:rsid w:val="008A193E"/>
    <w:rsid w:val="008A5AD2"/>
    <w:rsid w:val="008B53CA"/>
    <w:rsid w:val="008B711D"/>
    <w:rsid w:val="008D4F1F"/>
    <w:rsid w:val="008E350C"/>
    <w:rsid w:val="00900A28"/>
    <w:rsid w:val="00914084"/>
    <w:rsid w:val="0092371A"/>
    <w:rsid w:val="00927BE3"/>
    <w:rsid w:val="0094266D"/>
    <w:rsid w:val="00950006"/>
    <w:rsid w:val="009952F6"/>
    <w:rsid w:val="009A2CB0"/>
    <w:rsid w:val="009A34D4"/>
    <w:rsid w:val="009A3C95"/>
    <w:rsid w:val="009A496B"/>
    <w:rsid w:val="009A6282"/>
    <w:rsid w:val="009A7307"/>
    <w:rsid w:val="009B3E31"/>
    <w:rsid w:val="009C4F2A"/>
    <w:rsid w:val="009C5996"/>
    <w:rsid w:val="009C5D4B"/>
    <w:rsid w:val="009D5E62"/>
    <w:rsid w:val="009E2E4F"/>
    <w:rsid w:val="009F0AAD"/>
    <w:rsid w:val="009F201C"/>
    <w:rsid w:val="009F38F2"/>
    <w:rsid w:val="009F4D89"/>
    <w:rsid w:val="00A10C89"/>
    <w:rsid w:val="00A13AB2"/>
    <w:rsid w:val="00A17EF6"/>
    <w:rsid w:val="00A30255"/>
    <w:rsid w:val="00A35022"/>
    <w:rsid w:val="00A51292"/>
    <w:rsid w:val="00A8148E"/>
    <w:rsid w:val="00A846B3"/>
    <w:rsid w:val="00A86E1D"/>
    <w:rsid w:val="00AA0F65"/>
    <w:rsid w:val="00AA4813"/>
    <w:rsid w:val="00AA6A0C"/>
    <w:rsid w:val="00AA7117"/>
    <w:rsid w:val="00AB0DAC"/>
    <w:rsid w:val="00AD2128"/>
    <w:rsid w:val="00AD62E5"/>
    <w:rsid w:val="00AE0D26"/>
    <w:rsid w:val="00AE4A13"/>
    <w:rsid w:val="00AF4F6A"/>
    <w:rsid w:val="00B00042"/>
    <w:rsid w:val="00B15056"/>
    <w:rsid w:val="00B150FB"/>
    <w:rsid w:val="00B16045"/>
    <w:rsid w:val="00B2658A"/>
    <w:rsid w:val="00B325BD"/>
    <w:rsid w:val="00B710CC"/>
    <w:rsid w:val="00B85A6F"/>
    <w:rsid w:val="00BA2765"/>
    <w:rsid w:val="00BC55FC"/>
    <w:rsid w:val="00BD76BE"/>
    <w:rsid w:val="00BE0199"/>
    <w:rsid w:val="00BE194E"/>
    <w:rsid w:val="00BE735C"/>
    <w:rsid w:val="00BF09E3"/>
    <w:rsid w:val="00BF1A6D"/>
    <w:rsid w:val="00C028ED"/>
    <w:rsid w:val="00C0430C"/>
    <w:rsid w:val="00C17867"/>
    <w:rsid w:val="00C23117"/>
    <w:rsid w:val="00C259CE"/>
    <w:rsid w:val="00C25CA2"/>
    <w:rsid w:val="00C3015C"/>
    <w:rsid w:val="00C36234"/>
    <w:rsid w:val="00C536FB"/>
    <w:rsid w:val="00C701E5"/>
    <w:rsid w:val="00C7051A"/>
    <w:rsid w:val="00C73115"/>
    <w:rsid w:val="00C73FFE"/>
    <w:rsid w:val="00C7467B"/>
    <w:rsid w:val="00C832DF"/>
    <w:rsid w:val="00CA6A9B"/>
    <w:rsid w:val="00CA6D7D"/>
    <w:rsid w:val="00CB6175"/>
    <w:rsid w:val="00CD0C04"/>
    <w:rsid w:val="00CD32DF"/>
    <w:rsid w:val="00CE2A4C"/>
    <w:rsid w:val="00CF1E42"/>
    <w:rsid w:val="00CF316C"/>
    <w:rsid w:val="00CF6C55"/>
    <w:rsid w:val="00D009DA"/>
    <w:rsid w:val="00D01053"/>
    <w:rsid w:val="00D14881"/>
    <w:rsid w:val="00D20281"/>
    <w:rsid w:val="00D24D01"/>
    <w:rsid w:val="00D35B43"/>
    <w:rsid w:val="00D4549A"/>
    <w:rsid w:val="00D503E1"/>
    <w:rsid w:val="00D55285"/>
    <w:rsid w:val="00D56BFB"/>
    <w:rsid w:val="00D61FDA"/>
    <w:rsid w:val="00D75379"/>
    <w:rsid w:val="00D919B3"/>
    <w:rsid w:val="00DB5734"/>
    <w:rsid w:val="00DC3B01"/>
    <w:rsid w:val="00DD0BC3"/>
    <w:rsid w:val="00DD174A"/>
    <w:rsid w:val="00DE44BB"/>
    <w:rsid w:val="00DF348D"/>
    <w:rsid w:val="00E06821"/>
    <w:rsid w:val="00E10730"/>
    <w:rsid w:val="00E14DCC"/>
    <w:rsid w:val="00E15897"/>
    <w:rsid w:val="00E22D23"/>
    <w:rsid w:val="00E3330A"/>
    <w:rsid w:val="00E33EAC"/>
    <w:rsid w:val="00E41868"/>
    <w:rsid w:val="00E76D94"/>
    <w:rsid w:val="00E77B1C"/>
    <w:rsid w:val="00E854D4"/>
    <w:rsid w:val="00E94EF4"/>
    <w:rsid w:val="00EA50B9"/>
    <w:rsid w:val="00EC782B"/>
    <w:rsid w:val="00EF0DC7"/>
    <w:rsid w:val="00F17787"/>
    <w:rsid w:val="00F25ECD"/>
    <w:rsid w:val="00F34B37"/>
    <w:rsid w:val="00F40398"/>
    <w:rsid w:val="00F5004A"/>
    <w:rsid w:val="00F51BBE"/>
    <w:rsid w:val="00F54A1C"/>
    <w:rsid w:val="00F55B7B"/>
    <w:rsid w:val="00F70096"/>
    <w:rsid w:val="00F7506A"/>
    <w:rsid w:val="00F77E14"/>
    <w:rsid w:val="00F835A2"/>
    <w:rsid w:val="00F92D16"/>
    <w:rsid w:val="00F9596C"/>
    <w:rsid w:val="00FA417B"/>
    <w:rsid w:val="00FB1B35"/>
    <w:rsid w:val="00FC03F7"/>
    <w:rsid w:val="00FD06B5"/>
    <w:rsid w:val="00FD32E6"/>
    <w:rsid w:val="00FD3598"/>
    <w:rsid w:val="00FD71AD"/>
    <w:rsid w:val="00FE748C"/>
    <w:rsid w:val="00FF0D7D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EEDD"/>
  <w15:chartTrackingRefBased/>
  <w15:docId w15:val="{526F674A-F9AA-4695-867B-55CA1C6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21E1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21E1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21E1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921E1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21E1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21E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21E1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21E1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21E1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2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21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21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21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21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21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21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21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2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15056"/>
    <w:pPr>
      <w:ind w:left="720"/>
      <w:contextualSpacing/>
    </w:pPr>
  </w:style>
  <w:style w:type="paragraph" w:customStyle="1" w:styleId="PreformattedText">
    <w:name w:val="Preformatted Text"/>
    <w:basedOn w:val="Normale"/>
    <w:qFormat/>
    <w:rsid w:val="00C7051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3044A9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81C95"/>
    <w:pPr>
      <w:spacing w:after="100"/>
    </w:pPr>
    <w:rPr>
      <w:rFonts w:ascii="Trebuchet MS" w:hAnsi="Trebuchet MS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3044A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3044A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044A9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3044A9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3044A9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3044A9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3044A9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3044A9"/>
    <w:pPr>
      <w:spacing w:after="100"/>
      <w:ind w:left="1760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44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4A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E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94E"/>
  </w:style>
  <w:style w:type="paragraph" w:styleId="Pidipagina">
    <w:name w:val="footer"/>
    <w:basedOn w:val="Normale"/>
    <w:link w:val="PidipaginaCarattere"/>
    <w:uiPriority w:val="99"/>
    <w:unhideWhenUsed/>
    <w:rsid w:val="00BE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94E"/>
  </w:style>
  <w:style w:type="paragraph" w:styleId="NormaleWeb">
    <w:name w:val="Normal (Web)"/>
    <w:basedOn w:val="Normale"/>
    <w:rsid w:val="00CD32D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5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1A5A-F2BD-4D00-B072-21D6FD36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mlpalazzi</dc:creator>
  <cp:keywords/>
  <dc:description/>
  <cp:lastModifiedBy>mlpalazzi</cp:lastModifiedBy>
  <cp:revision>10</cp:revision>
  <dcterms:created xsi:type="dcterms:W3CDTF">2018-06-11T07:28:00Z</dcterms:created>
  <dcterms:modified xsi:type="dcterms:W3CDTF">2018-06-11T10:41:00Z</dcterms:modified>
</cp:coreProperties>
</file>